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5151A9" w:rsidP="00265A1C">
      <w:pPr>
        <w:ind w:right="43"/>
        <w:jc w:val="center"/>
        <w:rPr>
          <w:b/>
        </w:rPr>
      </w:pPr>
      <w:r>
        <w:rPr>
          <w:rFonts w:ascii="Arial" w:hAnsi="Arial" w:cs="Arial"/>
          <w:sz w:val="27"/>
          <w:szCs w:val="27"/>
        </w:rPr>
        <w:t>Variational theory and minimal submanifolds ( 672M )</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640ECC">
              <w:t xml:space="preserve"> King Saud University</w:t>
            </w:r>
          </w:p>
        </w:tc>
        <w:tc>
          <w:tcPr>
            <w:tcW w:w="4666" w:type="dxa"/>
            <w:tcBorders>
              <w:left w:val="nil"/>
            </w:tcBorders>
          </w:tcPr>
          <w:p w:rsidR="00BD2CF4" w:rsidRPr="00470372" w:rsidRDefault="00BD2CF4" w:rsidP="00265A1C">
            <w:pPr>
              <w:ind w:right="43"/>
            </w:pPr>
            <w:r>
              <w:t xml:space="preserve">Date:               </w:t>
            </w:r>
            <w:r w:rsidR="00640ECC">
              <w:t>26-11-2018</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640ECC">
              <w:t xml:space="preserve"> Science-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640ECC">
              <w:t xml:space="preserve">  </w:t>
            </w:r>
          </w:p>
          <w:p w:rsidR="00640ECC" w:rsidRDefault="005151A9" w:rsidP="00265A1C">
            <w:pPr>
              <w:ind w:right="43"/>
            </w:pPr>
            <w:r>
              <w:rPr>
                <w:rFonts w:ascii="Arial" w:hAnsi="Arial" w:cs="Arial"/>
                <w:sz w:val="27"/>
                <w:szCs w:val="27"/>
              </w:rPr>
              <w:t>Variational theory and minimal submanifolds ( 672M )</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640ECC">
              <w:t xml:space="preserve"> 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640ECC" w:rsidP="00265A1C">
            <w:pPr>
              <w:ind w:right="43"/>
            </w:pPr>
            <w:r>
              <w:t>Ph.D..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640ECC" w:rsidP="00265A1C">
            <w:pPr>
              <w:ind w:right="43"/>
            </w:pPr>
            <w:r>
              <w:rPr>
                <w:b/>
                <w:bCs/>
                <w:sz w:val="20"/>
              </w:rPr>
              <w:t>Dr. Sharief Deshmukh</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640ECC">
              <w:t xml:space="preserve"> First Year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950881"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40ECC" w:rsidRDefault="00640ECC">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640ECC" w:rsidRDefault="00640ECC">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40ECC" w:rsidRDefault="00640EC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640ECC" w:rsidRDefault="00640ECC">
                            <w:r>
                              <w:t>x</w:t>
                            </w:r>
                          </w:p>
                        </w:txbxContent>
                      </v:textbox>
                    </v:rect>
                  </w:pict>
                </mc:Fallback>
              </mc:AlternateContent>
            </w:r>
          </w:p>
          <w:p w:rsidR="004E7612" w:rsidRDefault="004E7612" w:rsidP="00265A1C">
            <w:pPr>
              <w:ind w:right="43"/>
            </w:pPr>
            <w:r>
              <w:t xml:space="preserve">a.  traditional classroom                                        What percentage?  </w:t>
            </w:r>
          </w:p>
          <w:p w:rsidR="004E7612" w:rsidRDefault="00950881"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C070"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28574"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b.  blended (traditional and online)                       What percentage?</w:t>
            </w:r>
          </w:p>
          <w:p w:rsidR="004E7612" w:rsidRDefault="00950881"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31D4F"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DBF1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c.  e-learning                                                          What percentage?</w:t>
            </w:r>
          </w:p>
          <w:p w:rsidR="004E7612" w:rsidRDefault="00950881"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18D18"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FC756"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d.  correspondence                                                 What percentage?</w:t>
            </w:r>
          </w:p>
          <w:p w:rsidR="004E7612" w:rsidRDefault="00950881"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2510A"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2AA06"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5151A9" w:rsidRDefault="00640ECC" w:rsidP="005151A9">
            <w:pPr>
              <w:rPr>
                <w:sz w:val="20"/>
              </w:rPr>
            </w:pPr>
            <w:r>
              <w:rPr>
                <w:sz w:val="20"/>
              </w:rPr>
              <w:t xml:space="preserve">         </w:t>
            </w:r>
            <w:r w:rsidR="005151A9">
              <w:rPr>
                <w:sz w:val="20"/>
              </w:rPr>
              <w:t xml:space="preserve">The course is designed for the research students who are willing to make career in Differential Geometry. This course will enhance the analytic thinking and an introduction to calculus of variations on Riemannian manifolds. </w:t>
            </w: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640ECC" w:rsidRPr="00C42A62" w:rsidRDefault="00640ECC" w:rsidP="00640ECC">
            <w:pPr>
              <w:rPr>
                <w:sz w:val="22"/>
                <w:szCs w:val="22"/>
              </w:rPr>
            </w:pPr>
          </w:p>
          <w:p w:rsidR="005151A9" w:rsidRDefault="005151A9" w:rsidP="005151A9">
            <w:r>
              <w:t xml:space="preserve">      -Creating a Web site for the material to be available to all students at any time.</w:t>
            </w:r>
          </w:p>
          <w:p w:rsidR="005151A9" w:rsidRDefault="005151A9" w:rsidP="005151A9">
            <w:r>
              <w:t xml:space="preserve">      - Home works and assignments to be marked in order to keep the students following the course</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5151A9" w:rsidRPr="00470372" w:rsidTr="001D7668">
        <w:trPr>
          <w:cantSplit/>
        </w:trPr>
        <w:tc>
          <w:tcPr>
            <w:tcW w:w="7350" w:type="dxa"/>
          </w:tcPr>
          <w:p w:rsidR="005151A9" w:rsidRDefault="005151A9" w:rsidP="009D78AE">
            <w:pPr>
              <w:spacing w:line="216" w:lineRule="auto"/>
              <w:rPr>
                <w:sz w:val="22"/>
                <w:szCs w:val="22"/>
              </w:rPr>
            </w:pPr>
          </w:p>
          <w:p w:rsidR="005151A9" w:rsidRPr="007B53E4" w:rsidRDefault="005151A9" w:rsidP="009D78AE">
            <w:pPr>
              <w:spacing w:line="216" w:lineRule="auto"/>
              <w:rPr>
                <w:sz w:val="20"/>
                <w:szCs w:val="20"/>
                <w:lang w:bidi="ar-EG"/>
              </w:rPr>
            </w:pPr>
            <w:r>
              <w:rPr>
                <w:sz w:val="22"/>
                <w:szCs w:val="22"/>
              </w:rPr>
              <w:t>The first and second variation of arc length,</w:t>
            </w:r>
          </w:p>
        </w:tc>
        <w:tc>
          <w:tcPr>
            <w:tcW w:w="990" w:type="dxa"/>
          </w:tcPr>
          <w:p w:rsidR="005151A9" w:rsidRDefault="005151A9" w:rsidP="009D78AE">
            <w:pPr>
              <w:spacing w:line="216" w:lineRule="auto"/>
              <w:jc w:val="center"/>
              <w:rPr>
                <w:sz w:val="20"/>
                <w:szCs w:val="20"/>
                <w:lang w:bidi="ar-EG"/>
              </w:rPr>
            </w:pPr>
            <w:r>
              <w:rPr>
                <w:sz w:val="20"/>
                <w:szCs w:val="20"/>
                <w:lang w:bidi="ar-EG"/>
              </w:rPr>
              <w:t>3</w:t>
            </w:r>
          </w:p>
        </w:tc>
        <w:tc>
          <w:tcPr>
            <w:tcW w:w="1620" w:type="dxa"/>
          </w:tcPr>
          <w:p w:rsidR="005151A9" w:rsidRDefault="005151A9" w:rsidP="009D78AE">
            <w:pPr>
              <w:spacing w:line="216" w:lineRule="auto"/>
              <w:jc w:val="center"/>
              <w:rPr>
                <w:sz w:val="20"/>
                <w:szCs w:val="20"/>
                <w:lang w:bidi="ar-EG"/>
              </w:rPr>
            </w:pPr>
          </w:p>
          <w:p w:rsidR="005151A9" w:rsidRDefault="005151A9" w:rsidP="009D78AE">
            <w:pPr>
              <w:spacing w:line="216" w:lineRule="auto"/>
              <w:jc w:val="center"/>
              <w:rPr>
                <w:sz w:val="20"/>
                <w:szCs w:val="20"/>
                <w:lang w:bidi="ar-EG"/>
              </w:rPr>
            </w:pPr>
            <w:r>
              <w:rPr>
                <w:sz w:val="20"/>
                <w:szCs w:val="20"/>
                <w:lang w:bidi="ar-EG"/>
              </w:rPr>
              <w:t>9</w:t>
            </w:r>
          </w:p>
        </w:tc>
      </w:tr>
      <w:tr w:rsidR="005151A9" w:rsidRPr="00470372" w:rsidTr="001D7668">
        <w:trPr>
          <w:cantSplit/>
        </w:trPr>
        <w:tc>
          <w:tcPr>
            <w:tcW w:w="7350" w:type="dxa"/>
          </w:tcPr>
          <w:p w:rsidR="005151A9" w:rsidRDefault="005151A9" w:rsidP="009D78AE">
            <w:pPr>
              <w:spacing w:line="216" w:lineRule="auto"/>
              <w:rPr>
                <w:sz w:val="22"/>
                <w:szCs w:val="22"/>
              </w:rPr>
            </w:pPr>
          </w:p>
          <w:p w:rsidR="005151A9" w:rsidRDefault="005151A9" w:rsidP="009D78AE">
            <w:pPr>
              <w:spacing w:line="216" w:lineRule="auto"/>
              <w:rPr>
                <w:rFonts w:ascii="Arial" w:hAnsi="Arial" w:cs="Arial"/>
                <w:color w:val="000000"/>
                <w:sz w:val="20"/>
                <w:szCs w:val="20"/>
              </w:rPr>
            </w:pPr>
            <w:r>
              <w:rPr>
                <w:sz w:val="22"/>
                <w:szCs w:val="22"/>
              </w:rPr>
              <w:t>Jacobi fields conjugate points, comparison theorems of Morse and Rauch, Myer's theorem on compactness of Riemannian Manifolds,</w:t>
            </w:r>
          </w:p>
          <w:p w:rsidR="005151A9" w:rsidRDefault="005151A9" w:rsidP="009D78AE">
            <w:pPr>
              <w:spacing w:line="216" w:lineRule="auto"/>
              <w:rPr>
                <w:sz w:val="20"/>
                <w:szCs w:val="20"/>
                <w:lang w:bidi="ar-EG"/>
              </w:rPr>
            </w:pPr>
          </w:p>
        </w:tc>
        <w:tc>
          <w:tcPr>
            <w:tcW w:w="990" w:type="dxa"/>
          </w:tcPr>
          <w:p w:rsidR="005151A9" w:rsidRDefault="005151A9" w:rsidP="009D78AE">
            <w:pPr>
              <w:spacing w:line="216" w:lineRule="auto"/>
              <w:rPr>
                <w:sz w:val="20"/>
                <w:szCs w:val="20"/>
                <w:lang w:bidi="ar-EG"/>
              </w:rPr>
            </w:pPr>
            <w:r>
              <w:rPr>
                <w:sz w:val="20"/>
                <w:szCs w:val="20"/>
                <w:lang w:bidi="ar-EG"/>
              </w:rPr>
              <w:t>2</w:t>
            </w:r>
          </w:p>
        </w:tc>
        <w:tc>
          <w:tcPr>
            <w:tcW w:w="1620" w:type="dxa"/>
          </w:tcPr>
          <w:p w:rsidR="005151A9" w:rsidRDefault="005151A9" w:rsidP="009D78AE">
            <w:pPr>
              <w:spacing w:line="216" w:lineRule="auto"/>
              <w:jc w:val="center"/>
              <w:rPr>
                <w:sz w:val="20"/>
                <w:szCs w:val="20"/>
                <w:lang w:bidi="ar-EG"/>
              </w:rPr>
            </w:pPr>
          </w:p>
          <w:p w:rsidR="005151A9" w:rsidRDefault="005151A9" w:rsidP="009D78AE">
            <w:pPr>
              <w:spacing w:line="216" w:lineRule="auto"/>
              <w:jc w:val="center"/>
              <w:rPr>
                <w:sz w:val="20"/>
                <w:szCs w:val="20"/>
                <w:lang w:bidi="ar-EG"/>
              </w:rPr>
            </w:pPr>
            <w:r>
              <w:rPr>
                <w:sz w:val="20"/>
                <w:szCs w:val="20"/>
                <w:lang w:bidi="ar-EG"/>
              </w:rPr>
              <w:t>6</w:t>
            </w:r>
          </w:p>
        </w:tc>
      </w:tr>
      <w:tr w:rsidR="005151A9" w:rsidRPr="00470372" w:rsidTr="001D7668">
        <w:trPr>
          <w:cantSplit/>
        </w:trPr>
        <w:tc>
          <w:tcPr>
            <w:tcW w:w="7350" w:type="dxa"/>
          </w:tcPr>
          <w:p w:rsidR="005151A9" w:rsidRDefault="005151A9" w:rsidP="009D78AE">
            <w:pPr>
              <w:spacing w:line="216" w:lineRule="auto"/>
              <w:rPr>
                <w:sz w:val="22"/>
                <w:szCs w:val="22"/>
              </w:rPr>
            </w:pPr>
          </w:p>
          <w:p w:rsidR="005151A9" w:rsidRDefault="005151A9" w:rsidP="009D78AE">
            <w:pPr>
              <w:spacing w:line="216" w:lineRule="auto"/>
              <w:rPr>
                <w:sz w:val="22"/>
                <w:szCs w:val="22"/>
              </w:rPr>
            </w:pPr>
            <w:r>
              <w:rPr>
                <w:sz w:val="22"/>
                <w:szCs w:val="22"/>
              </w:rPr>
              <w:t>Variation of immersion, Normal variation</w:t>
            </w:r>
          </w:p>
          <w:p w:rsidR="005151A9" w:rsidRPr="007B53E4" w:rsidRDefault="005151A9" w:rsidP="009D78AE">
            <w:pPr>
              <w:spacing w:line="216" w:lineRule="auto"/>
              <w:rPr>
                <w:rFonts w:ascii="Arial" w:hAnsi="Arial" w:cs="Arial"/>
                <w:sz w:val="20"/>
                <w:szCs w:val="20"/>
                <w:lang w:bidi="ar-EG"/>
              </w:rPr>
            </w:pPr>
          </w:p>
        </w:tc>
        <w:tc>
          <w:tcPr>
            <w:tcW w:w="990" w:type="dxa"/>
          </w:tcPr>
          <w:p w:rsidR="005151A9" w:rsidRDefault="005151A9" w:rsidP="009D78AE">
            <w:pPr>
              <w:spacing w:line="216" w:lineRule="auto"/>
              <w:rPr>
                <w:sz w:val="20"/>
                <w:szCs w:val="20"/>
                <w:lang w:bidi="ar-EG"/>
              </w:rPr>
            </w:pPr>
            <w:r>
              <w:rPr>
                <w:sz w:val="20"/>
                <w:szCs w:val="20"/>
                <w:lang w:bidi="ar-EG"/>
              </w:rPr>
              <w:t>2</w:t>
            </w:r>
          </w:p>
        </w:tc>
        <w:tc>
          <w:tcPr>
            <w:tcW w:w="1620" w:type="dxa"/>
          </w:tcPr>
          <w:p w:rsidR="005151A9" w:rsidRDefault="005151A9" w:rsidP="009D78AE">
            <w:pPr>
              <w:spacing w:line="216" w:lineRule="auto"/>
              <w:jc w:val="center"/>
              <w:rPr>
                <w:sz w:val="20"/>
                <w:szCs w:val="20"/>
                <w:lang w:bidi="ar-EG"/>
              </w:rPr>
            </w:pPr>
          </w:p>
          <w:p w:rsidR="005151A9" w:rsidRPr="007B53E4" w:rsidRDefault="005151A9" w:rsidP="009D78AE">
            <w:pPr>
              <w:spacing w:line="216" w:lineRule="auto"/>
              <w:jc w:val="center"/>
              <w:rPr>
                <w:sz w:val="20"/>
                <w:szCs w:val="20"/>
                <w:lang w:bidi="ar-EG"/>
              </w:rPr>
            </w:pPr>
            <w:r>
              <w:rPr>
                <w:sz w:val="20"/>
                <w:szCs w:val="20"/>
                <w:lang w:bidi="ar-EG"/>
              </w:rPr>
              <w:t>6</w:t>
            </w:r>
          </w:p>
        </w:tc>
      </w:tr>
      <w:tr w:rsidR="005151A9" w:rsidRPr="00470372" w:rsidTr="001D7668">
        <w:trPr>
          <w:cantSplit/>
        </w:trPr>
        <w:tc>
          <w:tcPr>
            <w:tcW w:w="7350" w:type="dxa"/>
          </w:tcPr>
          <w:p w:rsidR="005151A9" w:rsidRDefault="005151A9" w:rsidP="009D78AE">
            <w:pPr>
              <w:spacing w:line="216" w:lineRule="auto"/>
              <w:rPr>
                <w:sz w:val="22"/>
                <w:szCs w:val="22"/>
              </w:rPr>
            </w:pPr>
          </w:p>
          <w:p w:rsidR="005151A9" w:rsidRPr="00DC3401" w:rsidRDefault="005151A9" w:rsidP="009D78AE">
            <w:pPr>
              <w:spacing w:line="216" w:lineRule="auto"/>
              <w:rPr>
                <w:sz w:val="22"/>
                <w:szCs w:val="22"/>
              </w:rPr>
            </w:pPr>
            <w:r>
              <w:rPr>
                <w:sz w:val="22"/>
                <w:szCs w:val="22"/>
              </w:rPr>
              <w:t>First and second variation of the area function</w:t>
            </w:r>
          </w:p>
        </w:tc>
        <w:tc>
          <w:tcPr>
            <w:tcW w:w="990" w:type="dxa"/>
          </w:tcPr>
          <w:p w:rsidR="005151A9" w:rsidRDefault="005151A9" w:rsidP="009D78AE">
            <w:pPr>
              <w:spacing w:line="216" w:lineRule="auto"/>
              <w:rPr>
                <w:sz w:val="20"/>
                <w:szCs w:val="20"/>
                <w:lang w:bidi="ar-EG"/>
              </w:rPr>
            </w:pPr>
            <w:r>
              <w:rPr>
                <w:sz w:val="20"/>
                <w:szCs w:val="20"/>
                <w:lang w:bidi="ar-EG"/>
              </w:rPr>
              <w:t>2</w:t>
            </w:r>
          </w:p>
        </w:tc>
        <w:tc>
          <w:tcPr>
            <w:tcW w:w="1620" w:type="dxa"/>
          </w:tcPr>
          <w:p w:rsidR="005151A9" w:rsidRDefault="005151A9" w:rsidP="009D78AE">
            <w:pPr>
              <w:spacing w:line="216" w:lineRule="auto"/>
              <w:jc w:val="center"/>
              <w:rPr>
                <w:sz w:val="20"/>
                <w:szCs w:val="20"/>
                <w:lang w:bidi="ar-EG"/>
              </w:rPr>
            </w:pPr>
          </w:p>
          <w:p w:rsidR="005151A9" w:rsidRDefault="005151A9" w:rsidP="009D78AE">
            <w:pPr>
              <w:spacing w:line="216" w:lineRule="auto"/>
              <w:jc w:val="center"/>
              <w:rPr>
                <w:sz w:val="20"/>
                <w:szCs w:val="20"/>
                <w:lang w:bidi="ar-EG"/>
              </w:rPr>
            </w:pPr>
            <w:r>
              <w:rPr>
                <w:sz w:val="20"/>
                <w:szCs w:val="20"/>
                <w:lang w:bidi="ar-EG"/>
              </w:rPr>
              <w:t>6</w:t>
            </w:r>
          </w:p>
        </w:tc>
      </w:tr>
      <w:tr w:rsidR="005151A9" w:rsidRPr="00470372" w:rsidTr="001D7668">
        <w:trPr>
          <w:cantSplit/>
        </w:trPr>
        <w:tc>
          <w:tcPr>
            <w:tcW w:w="7350" w:type="dxa"/>
          </w:tcPr>
          <w:p w:rsidR="005151A9" w:rsidRDefault="005151A9" w:rsidP="009D78AE">
            <w:pPr>
              <w:spacing w:line="216" w:lineRule="auto"/>
              <w:rPr>
                <w:sz w:val="22"/>
                <w:szCs w:val="22"/>
              </w:rPr>
            </w:pPr>
          </w:p>
          <w:p w:rsidR="005151A9" w:rsidRDefault="005151A9" w:rsidP="009D78AE">
            <w:pPr>
              <w:spacing w:line="216" w:lineRule="auto"/>
              <w:rPr>
                <w:sz w:val="20"/>
                <w:szCs w:val="20"/>
                <w:lang w:bidi="ar-EG"/>
              </w:rPr>
            </w:pPr>
            <w:r>
              <w:rPr>
                <w:sz w:val="22"/>
                <w:szCs w:val="22"/>
              </w:rPr>
              <w:t>Minimal submanifolds, stability of minimal submanifolds,</w:t>
            </w:r>
          </w:p>
        </w:tc>
        <w:tc>
          <w:tcPr>
            <w:tcW w:w="990" w:type="dxa"/>
          </w:tcPr>
          <w:p w:rsidR="005151A9" w:rsidRDefault="005151A9" w:rsidP="009D78AE">
            <w:pPr>
              <w:spacing w:line="216" w:lineRule="auto"/>
              <w:rPr>
                <w:sz w:val="20"/>
                <w:szCs w:val="20"/>
                <w:lang w:bidi="ar-EG"/>
              </w:rPr>
            </w:pPr>
            <w:r>
              <w:rPr>
                <w:sz w:val="20"/>
                <w:szCs w:val="20"/>
                <w:lang w:bidi="ar-EG"/>
              </w:rPr>
              <w:t>2</w:t>
            </w:r>
          </w:p>
        </w:tc>
        <w:tc>
          <w:tcPr>
            <w:tcW w:w="1620" w:type="dxa"/>
          </w:tcPr>
          <w:p w:rsidR="005151A9" w:rsidRDefault="005151A9" w:rsidP="009D78AE">
            <w:pPr>
              <w:spacing w:line="216" w:lineRule="auto"/>
              <w:jc w:val="center"/>
              <w:rPr>
                <w:sz w:val="20"/>
                <w:szCs w:val="20"/>
                <w:lang w:bidi="ar-EG"/>
              </w:rPr>
            </w:pPr>
          </w:p>
          <w:p w:rsidR="005151A9" w:rsidRPr="007B53E4" w:rsidRDefault="005151A9" w:rsidP="009D78AE">
            <w:pPr>
              <w:spacing w:line="216" w:lineRule="auto"/>
              <w:jc w:val="center"/>
              <w:rPr>
                <w:sz w:val="20"/>
                <w:szCs w:val="20"/>
                <w:lang w:bidi="ar-EG"/>
              </w:rPr>
            </w:pPr>
            <w:r>
              <w:rPr>
                <w:sz w:val="20"/>
                <w:szCs w:val="20"/>
                <w:lang w:bidi="ar-EG"/>
              </w:rPr>
              <w:t>6</w:t>
            </w:r>
          </w:p>
        </w:tc>
      </w:tr>
      <w:tr w:rsidR="005151A9" w:rsidRPr="00470372" w:rsidTr="001D7668">
        <w:trPr>
          <w:cantSplit/>
        </w:trPr>
        <w:tc>
          <w:tcPr>
            <w:tcW w:w="7350" w:type="dxa"/>
          </w:tcPr>
          <w:p w:rsidR="005151A9" w:rsidRDefault="005151A9" w:rsidP="009D78AE">
            <w:pPr>
              <w:spacing w:line="216" w:lineRule="auto"/>
              <w:rPr>
                <w:sz w:val="20"/>
                <w:szCs w:val="20"/>
                <w:lang w:bidi="ar-EG"/>
              </w:rPr>
            </w:pPr>
          </w:p>
          <w:p w:rsidR="005151A9" w:rsidRDefault="005151A9" w:rsidP="009D78AE">
            <w:pPr>
              <w:spacing w:line="216" w:lineRule="auto"/>
              <w:rPr>
                <w:sz w:val="20"/>
                <w:szCs w:val="20"/>
                <w:lang w:bidi="ar-EG"/>
              </w:rPr>
            </w:pPr>
            <w:r>
              <w:rPr>
                <w:sz w:val="22"/>
                <w:szCs w:val="22"/>
              </w:rPr>
              <w:t>Index of minimal submanifolds, minimal submanifolds in spheres</w:t>
            </w:r>
          </w:p>
        </w:tc>
        <w:tc>
          <w:tcPr>
            <w:tcW w:w="990" w:type="dxa"/>
          </w:tcPr>
          <w:p w:rsidR="005151A9" w:rsidRDefault="005151A9" w:rsidP="009D78AE">
            <w:pPr>
              <w:spacing w:line="216" w:lineRule="auto"/>
              <w:rPr>
                <w:sz w:val="20"/>
                <w:szCs w:val="20"/>
                <w:lang w:bidi="ar-EG"/>
              </w:rPr>
            </w:pPr>
            <w:r>
              <w:rPr>
                <w:sz w:val="20"/>
                <w:szCs w:val="20"/>
                <w:lang w:bidi="ar-EG"/>
              </w:rPr>
              <w:t>2</w:t>
            </w:r>
          </w:p>
        </w:tc>
        <w:tc>
          <w:tcPr>
            <w:tcW w:w="1620" w:type="dxa"/>
          </w:tcPr>
          <w:p w:rsidR="005151A9" w:rsidRDefault="005151A9" w:rsidP="009D78AE">
            <w:pPr>
              <w:spacing w:line="216" w:lineRule="auto"/>
              <w:jc w:val="center"/>
              <w:rPr>
                <w:sz w:val="20"/>
                <w:szCs w:val="20"/>
                <w:lang w:bidi="ar-EG"/>
              </w:rPr>
            </w:pPr>
          </w:p>
          <w:p w:rsidR="005151A9" w:rsidRDefault="005151A9" w:rsidP="009D78AE">
            <w:pPr>
              <w:spacing w:line="216" w:lineRule="auto"/>
              <w:jc w:val="center"/>
              <w:rPr>
                <w:sz w:val="20"/>
                <w:szCs w:val="20"/>
                <w:lang w:bidi="ar-EG"/>
              </w:rPr>
            </w:pPr>
            <w:r>
              <w:rPr>
                <w:sz w:val="20"/>
                <w:szCs w:val="20"/>
                <w:lang w:bidi="ar-EG"/>
              </w:rPr>
              <w:t>6</w:t>
            </w:r>
          </w:p>
        </w:tc>
      </w:tr>
      <w:tr w:rsidR="005151A9" w:rsidRPr="00470372" w:rsidTr="001D7668">
        <w:trPr>
          <w:cantSplit/>
        </w:trPr>
        <w:tc>
          <w:tcPr>
            <w:tcW w:w="7350" w:type="dxa"/>
          </w:tcPr>
          <w:p w:rsidR="005151A9" w:rsidRDefault="005151A9" w:rsidP="009D78AE">
            <w:pPr>
              <w:spacing w:line="216" w:lineRule="auto"/>
              <w:rPr>
                <w:sz w:val="22"/>
                <w:szCs w:val="22"/>
              </w:rPr>
            </w:pPr>
          </w:p>
          <w:p w:rsidR="005151A9" w:rsidRPr="007B53E4" w:rsidRDefault="005151A9" w:rsidP="009D78AE">
            <w:pPr>
              <w:spacing w:line="216" w:lineRule="auto"/>
              <w:rPr>
                <w:sz w:val="20"/>
                <w:szCs w:val="20"/>
                <w:lang w:bidi="ar-EG"/>
              </w:rPr>
            </w:pPr>
            <w:r>
              <w:rPr>
                <w:sz w:val="22"/>
                <w:szCs w:val="22"/>
              </w:rPr>
              <w:t xml:space="preserve">complex submanifolds of a complex projective space. </w:t>
            </w:r>
            <w:r w:rsidRPr="007B53E4">
              <w:rPr>
                <w:sz w:val="20"/>
                <w:szCs w:val="20"/>
                <w:lang w:bidi="ar-EG"/>
              </w:rPr>
              <w:t xml:space="preserve"> </w:t>
            </w:r>
          </w:p>
        </w:tc>
        <w:tc>
          <w:tcPr>
            <w:tcW w:w="990" w:type="dxa"/>
          </w:tcPr>
          <w:p w:rsidR="005151A9" w:rsidRDefault="005151A9" w:rsidP="009D78AE">
            <w:pPr>
              <w:spacing w:line="216" w:lineRule="auto"/>
              <w:rPr>
                <w:sz w:val="20"/>
                <w:szCs w:val="20"/>
                <w:lang w:bidi="ar-EG"/>
              </w:rPr>
            </w:pPr>
            <w:r>
              <w:rPr>
                <w:sz w:val="20"/>
                <w:szCs w:val="20"/>
                <w:lang w:bidi="ar-EG"/>
              </w:rPr>
              <w:t>2</w:t>
            </w:r>
          </w:p>
        </w:tc>
        <w:tc>
          <w:tcPr>
            <w:tcW w:w="1620" w:type="dxa"/>
          </w:tcPr>
          <w:p w:rsidR="005151A9" w:rsidRDefault="005151A9" w:rsidP="009D78AE">
            <w:pPr>
              <w:spacing w:line="216" w:lineRule="auto"/>
              <w:jc w:val="center"/>
              <w:rPr>
                <w:sz w:val="20"/>
                <w:szCs w:val="20"/>
                <w:lang w:bidi="ar-EG"/>
              </w:rPr>
            </w:pPr>
          </w:p>
          <w:p w:rsidR="005151A9" w:rsidRDefault="005151A9" w:rsidP="009D78AE">
            <w:pPr>
              <w:spacing w:line="216" w:lineRule="auto"/>
              <w:jc w:val="center"/>
              <w:rPr>
                <w:sz w:val="20"/>
                <w:szCs w:val="20"/>
                <w:lang w:bidi="ar-EG"/>
              </w:rPr>
            </w:pPr>
            <w:r>
              <w:rPr>
                <w:sz w:val="20"/>
                <w:szCs w:val="20"/>
                <w:lang w:bidi="ar-EG"/>
              </w:rPr>
              <w:t>6</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950881"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640ECC" w:rsidRDefault="00640ECC">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640ECC" w:rsidRDefault="00640ECC">
                            <w:r>
                              <w:t>5</w:t>
                            </w:r>
                          </w:p>
                        </w:txbxContent>
                      </v:textbox>
                    </v:rect>
                  </w:pict>
                </mc:Fallback>
              </mc:AlternateContent>
            </w:r>
            <w:r w:rsidR="004E7612" w:rsidRPr="00470372">
              <w:t xml:space="preserve">3. Additional private study/learning hours expected for students per week. </w:t>
            </w:r>
          </w:p>
          <w:p w:rsidR="00640ECC" w:rsidRPr="00470372" w:rsidRDefault="00640ECC" w:rsidP="00954DE5">
            <w:pPr>
              <w:ind w:right="43"/>
            </w:pPr>
            <w:r>
              <w:rPr>
                <w:bCs/>
                <w:sz w:val="20"/>
              </w:rPr>
              <w:t>5 hours a week for homework and revision.</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640ECC" w:rsidTr="00836E83">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1.1</w:t>
            </w:r>
          </w:p>
        </w:tc>
        <w:tc>
          <w:tcPr>
            <w:tcW w:w="4572" w:type="dxa"/>
          </w:tcPr>
          <w:p w:rsidR="00640ECC" w:rsidRPr="00FC6AFE" w:rsidRDefault="00640ECC" w:rsidP="00640ECC">
            <w:pPr>
              <w:pStyle w:val="Heading7"/>
              <w:spacing w:after="120"/>
              <w:rPr>
                <w:bCs/>
                <w:sz w:val="20"/>
              </w:rPr>
            </w:pPr>
            <w:r>
              <w:rPr>
                <w:bCs/>
                <w:sz w:val="20"/>
              </w:rPr>
              <w:t xml:space="preserve">  </w:t>
            </w:r>
            <w:r w:rsidR="005151A9">
              <w:rPr>
                <w:bCs/>
                <w:sz w:val="20"/>
              </w:rPr>
              <w:t>Understanding  the applications of calculus of variations to  differential geometry and analytic tools used in getting topological information of the manifolds.</w:t>
            </w:r>
          </w:p>
          <w:p w:rsidR="00640ECC" w:rsidRPr="00237E18" w:rsidRDefault="00640ECC" w:rsidP="009D78AE">
            <w:pPr>
              <w:rPr>
                <w:sz w:val="22"/>
                <w:szCs w:val="22"/>
                <w:lang w:val="en-AU"/>
              </w:rPr>
            </w:pPr>
          </w:p>
        </w:tc>
        <w:tc>
          <w:tcPr>
            <w:tcW w:w="2232" w:type="dxa"/>
            <w:vAlign w:val="center"/>
          </w:tcPr>
          <w:p w:rsidR="00640ECC" w:rsidRPr="00FC6AFE" w:rsidRDefault="00640ECC" w:rsidP="009D78AE">
            <w:pPr>
              <w:pStyle w:val="Heading7"/>
              <w:spacing w:after="120"/>
              <w:rPr>
                <w:bCs/>
                <w:sz w:val="20"/>
              </w:rPr>
            </w:pPr>
            <w:r>
              <w:rPr>
                <w:bCs/>
                <w:sz w:val="20"/>
              </w:rPr>
              <w:t xml:space="preserve">    - Contact with Lecturers through office hours.</w:t>
            </w:r>
          </w:p>
          <w:p w:rsidR="00640ECC" w:rsidRPr="00FC6AFE" w:rsidRDefault="00640ECC" w:rsidP="009D78AE">
            <w:pPr>
              <w:pStyle w:val="Heading7"/>
              <w:spacing w:after="120"/>
              <w:rPr>
                <w:bCs/>
                <w:sz w:val="20"/>
              </w:rPr>
            </w:pPr>
            <w:r>
              <w:rPr>
                <w:bCs/>
                <w:sz w:val="20"/>
              </w:rPr>
              <w:t xml:space="preserve">        - Tutorial discussions.</w:t>
            </w:r>
          </w:p>
          <w:p w:rsidR="00640ECC" w:rsidRPr="001D3A92" w:rsidRDefault="00640ECC" w:rsidP="009D78AE">
            <w:pPr>
              <w:ind w:right="43"/>
              <w:rPr>
                <w:sz w:val="20"/>
                <w:szCs w:val="20"/>
              </w:rPr>
            </w:pPr>
            <w:r>
              <w:rPr>
                <w:bCs/>
                <w:sz w:val="20"/>
              </w:rPr>
              <w:t xml:space="preserve">        -Homework assignments.</w:t>
            </w:r>
          </w:p>
        </w:tc>
        <w:tc>
          <w:tcPr>
            <w:tcW w:w="2034" w:type="dxa"/>
            <w:vAlign w:val="center"/>
          </w:tcPr>
          <w:p w:rsidR="00640ECC" w:rsidRPr="00FC6AFE" w:rsidRDefault="00640ECC" w:rsidP="00640ECC">
            <w:pPr>
              <w:pStyle w:val="Heading7"/>
              <w:spacing w:after="120"/>
              <w:rPr>
                <w:bCs/>
                <w:sz w:val="20"/>
              </w:rPr>
            </w:pPr>
            <w:r>
              <w:rPr>
                <w:bCs/>
                <w:sz w:val="20"/>
              </w:rPr>
              <w:t>- Short quizzes in tutorial classes.</w:t>
            </w:r>
          </w:p>
          <w:p w:rsidR="00640ECC" w:rsidRDefault="00640ECC" w:rsidP="00640ECC">
            <w:pPr>
              <w:pStyle w:val="Heading7"/>
              <w:spacing w:after="120"/>
              <w:rPr>
                <w:bCs/>
                <w:sz w:val="20"/>
              </w:rPr>
            </w:pPr>
            <w:r>
              <w:rPr>
                <w:bCs/>
                <w:sz w:val="20"/>
              </w:rPr>
              <w:t xml:space="preserve">    - Two mid term exams. In addition to the final exam.</w:t>
            </w:r>
          </w:p>
          <w:p w:rsidR="00640ECC" w:rsidRPr="00EF1524" w:rsidRDefault="00640ECC" w:rsidP="00640ECC">
            <w:pPr>
              <w:rPr>
                <w:lang w:val="en-AU"/>
              </w:rPr>
            </w:pPr>
            <w:r>
              <w:rPr>
                <w:lang w:val="en-AU"/>
              </w:rPr>
              <w:t xml:space="preserve">    </w:t>
            </w:r>
            <w:r>
              <w:t xml:space="preserve">- </w:t>
            </w:r>
            <w:r w:rsidRPr="00EF1524">
              <w:rPr>
                <w:sz w:val="22"/>
                <w:szCs w:val="22"/>
              </w:rPr>
              <w:t>Evaluation of skills during lectures and tutorials</w:t>
            </w:r>
          </w:p>
          <w:p w:rsidR="00640ECC" w:rsidRPr="00640ECC" w:rsidRDefault="00640ECC" w:rsidP="0024509A">
            <w:pPr>
              <w:ind w:right="43"/>
              <w:rPr>
                <w:sz w:val="20"/>
                <w:szCs w:val="20"/>
                <w:lang w:val="en-AU"/>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1.2</w:t>
            </w:r>
          </w:p>
        </w:tc>
        <w:tc>
          <w:tcPr>
            <w:tcW w:w="4572" w:type="dxa"/>
            <w:vAlign w:val="center"/>
          </w:tcPr>
          <w:p w:rsidR="00640ECC" w:rsidRPr="00640ECC" w:rsidRDefault="00640ECC" w:rsidP="00640ECC">
            <w:pPr>
              <w:pStyle w:val="Heading7"/>
              <w:spacing w:after="120"/>
              <w:rPr>
                <w:sz w:val="20"/>
                <w:szCs w:val="20"/>
                <w:lang w:val="en-AU"/>
              </w:rPr>
            </w:pPr>
            <w:r>
              <w:rPr>
                <w:bCs/>
                <w:sz w:val="20"/>
              </w:rPr>
              <w:t xml:space="preserve">    </w:t>
            </w: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2.0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Cognitive Skills</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2.1</w:t>
            </w:r>
          </w:p>
        </w:tc>
        <w:tc>
          <w:tcPr>
            <w:tcW w:w="4572" w:type="dxa"/>
            <w:vAlign w:val="center"/>
          </w:tcPr>
          <w:p w:rsidR="00640ECC" w:rsidRPr="00FC6AFE" w:rsidRDefault="00640ECC" w:rsidP="00640ECC">
            <w:pPr>
              <w:pStyle w:val="Heading7"/>
              <w:spacing w:after="120"/>
              <w:rPr>
                <w:bCs/>
                <w:sz w:val="20"/>
              </w:rPr>
            </w:pPr>
            <w:r>
              <w:rPr>
                <w:bCs/>
                <w:sz w:val="20"/>
              </w:rPr>
              <w:t xml:space="preserve">  To prepare the students to appreciate the implications of deep results in this course. Clarifying  the main points of the course and linking previous knowledge to the lectures through solving problems, also identifying how useful the material in </w:t>
            </w:r>
            <w:r>
              <w:rPr>
                <w:bCs/>
                <w:sz w:val="20"/>
              </w:rPr>
              <w:lastRenderedPageBreak/>
              <w:t>applications.</w:t>
            </w:r>
          </w:p>
          <w:p w:rsidR="00640ECC" w:rsidRPr="001D3A92" w:rsidRDefault="00640ECC" w:rsidP="00640ECC">
            <w:pPr>
              <w:ind w:right="43"/>
              <w:rPr>
                <w:sz w:val="20"/>
                <w:szCs w:val="20"/>
              </w:rPr>
            </w:pPr>
          </w:p>
        </w:tc>
        <w:tc>
          <w:tcPr>
            <w:tcW w:w="2232" w:type="dxa"/>
            <w:vAlign w:val="center"/>
          </w:tcPr>
          <w:p w:rsidR="00640ECC" w:rsidRPr="00650D74" w:rsidRDefault="00640ECC" w:rsidP="00640ECC">
            <w:r>
              <w:lastRenderedPageBreak/>
              <w:t>-</w:t>
            </w:r>
            <w:r>
              <w:rPr>
                <w:bCs/>
                <w:sz w:val="20"/>
              </w:rPr>
              <w:t xml:space="preserve"> Constructing as many examples as possible, so that the students appreciate this sophisticated course.</w:t>
            </w:r>
          </w:p>
          <w:p w:rsidR="00640ECC" w:rsidRPr="00FC6AFE" w:rsidRDefault="00640ECC" w:rsidP="00640ECC">
            <w:pPr>
              <w:pStyle w:val="Heading7"/>
              <w:spacing w:after="120"/>
              <w:rPr>
                <w:bCs/>
                <w:sz w:val="20"/>
              </w:rPr>
            </w:pPr>
            <w:r>
              <w:rPr>
                <w:bCs/>
                <w:sz w:val="20"/>
              </w:rPr>
              <w:lastRenderedPageBreak/>
              <w:t>-Directing the students to how to think in formulating  mathematical  models through discussions during the lectures.</w:t>
            </w:r>
          </w:p>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r>
              <w:rPr>
                <w:bCs/>
                <w:sz w:val="20"/>
              </w:rPr>
              <w:lastRenderedPageBreak/>
              <w:t>Communications in class, Quizzes, Home-work and Exams.</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lastRenderedPageBreak/>
              <w:t>2.2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3.0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Interpersonal Skills &amp; Responsibility</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3.1</w:t>
            </w:r>
          </w:p>
        </w:tc>
        <w:tc>
          <w:tcPr>
            <w:tcW w:w="4572" w:type="dxa"/>
            <w:vAlign w:val="center"/>
          </w:tcPr>
          <w:p w:rsidR="00640ECC" w:rsidRDefault="00640ECC" w:rsidP="005151A9">
            <w:pPr>
              <w:pStyle w:val="Heading7"/>
              <w:spacing w:after="120"/>
              <w:rPr>
                <w:bCs/>
                <w:sz w:val="20"/>
              </w:rPr>
            </w:pPr>
            <w:r>
              <w:rPr>
                <w:bCs/>
                <w:sz w:val="20"/>
              </w:rPr>
              <w:t>Directing students to the way of thinking , handling the material and encouraging them to discuss</w:t>
            </w:r>
            <w:r w:rsidR="005151A9">
              <w:rPr>
                <w:bCs/>
                <w:sz w:val="20"/>
              </w:rPr>
              <w:t xml:space="preserve"> </w:t>
            </w:r>
            <w:r>
              <w:rPr>
                <w:bCs/>
                <w:sz w:val="20"/>
              </w:rPr>
              <w:t xml:space="preserve"> any minor problems related to the material.</w:t>
            </w:r>
          </w:p>
          <w:p w:rsidR="00640ECC" w:rsidRPr="001D3A92" w:rsidRDefault="00640ECC" w:rsidP="0024509A">
            <w:pPr>
              <w:ind w:right="43"/>
              <w:rPr>
                <w:sz w:val="20"/>
                <w:szCs w:val="20"/>
              </w:rPr>
            </w:pPr>
          </w:p>
        </w:tc>
        <w:tc>
          <w:tcPr>
            <w:tcW w:w="2232" w:type="dxa"/>
            <w:vAlign w:val="center"/>
          </w:tcPr>
          <w:p w:rsidR="00640ECC" w:rsidRPr="00E100BF" w:rsidRDefault="00640ECC" w:rsidP="00640ECC">
            <w:r>
              <w:t>-The use of different sources for the material</w:t>
            </w:r>
          </w:p>
          <w:p w:rsidR="00640ECC" w:rsidRDefault="00640ECC" w:rsidP="00640ECC">
            <w:pPr>
              <w:rPr>
                <w:sz w:val="22"/>
                <w:szCs w:val="22"/>
              </w:rPr>
            </w:pPr>
            <w:r>
              <w:rPr>
                <w:bCs/>
                <w:sz w:val="20"/>
              </w:rPr>
              <w:t>-Correcting home works and directing students to good presentation of their home work.</w:t>
            </w:r>
          </w:p>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r>
              <w:rPr>
                <w:bCs/>
                <w:sz w:val="20"/>
              </w:rPr>
              <w:t xml:space="preserve">  Continuous checking to the student skills in understanding the course. Encouraging students to participate in giving seminars and their impressions on the important results.</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3.2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4.0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Communication, Information Technology, Numerical</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4.1</w:t>
            </w:r>
          </w:p>
        </w:tc>
        <w:tc>
          <w:tcPr>
            <w:tcW w:w="4572" w:type="dxa"/>
            <w:vAlign w:val="center"/>
          </w:tcPr>
          <w:p w:rsidR="00640ECC" w:rsidRPr="00FC6AFE" w:rsidRDefault="00640ECC" w:rsidP="00640ECC">
            <w:pPr>
              <w:pStyle w:val="Heading7"/>
              <w:spacing w:after="120"/>
              <w:rPr>
                <w:bCs/>
                <w:sz w:val="20"/>
              </w:rPr>
            </w:pPr>
            <w:r>
              <w:rPr>
                <w:bCs/>
                <w:sz w:val="20"/>
              </w:rPr>
              <w:t>The use of computational  tools and   presentation of homework.</w:t>
            </w:r>
          </w:p>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r>
              <w:rPr>
                <w:bCs/>
                <w:sz w:val="20"/>
              </w:rPr>
              <w:t>Encouraging  students to use the available different tools in studying the course.</w:t>
            </w:r>
          </w:p>
        </w:tc>
        <w:tc>
          <w:tcPr>
            <w:tcW w:w="2034" w:type="dxa"/>
            <w:vAlign w:val="center"/>
          </w:tcPr>
          <w:p w:rsidR="00640ECC" w:rsidRPr="00FC6AFE" w:rsidRDefault="00640ECC" w:rsidP="00640ECC">
            <w:pPr>
              <w:pStyle w:val="Heading7"/>
              <w:spacing w:after="120"/>
              <w:rPr>
                <w:bCs/>
                <w:sz w:val="20"/>
              </w:rPr>
            </w:pPr>
            <w:r>
              <w:rPr>
                <w:bCs/>
                <w:sz w:val="20"/>
              </w:rPr>
              <w:t>Giving a letter of appreciation to the distinguished students.</w:t>
            </w:r>
          </w:p>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4.2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5.0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Psychomotor</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5.1</w:t>
            </w:r>
          </w:p>
        </w:tc>
        <w:tc>
          <w:tcPr>
            <w:tcW w:w="4572" w:type="dxa"/>
            <w:vAlign w:val="center"/>
          </w:tcPr>
          <w:p w:rsidR="00640ECC" w:rsidRPr="00A840E1" w:rsidRDefault="00640ECC" w:rsidP="00640ECC">
            <w:pPr>
              <w:pStyle w:val="Heading7"/>
              <w:spacing w:after="120"/>
              <w:rPr>
                <w:bCs/>
                <w:sz w:val="20"/>
              </w:rPr>
            </w:pPr>
            <w:r>
              <w:rPr>
                <w:bCs/>
                <w:sz w:val="20"/>
              </w:rPr>
              <w:t xml:space="preserve">          Not  </w:t>
            </w:r>
            <w:r w:rsidRPr="00A840E1">
              <w:rPr>
                <w:bCs/>
                <w:sz w:val="20"/>
              </w:rPr>
              <w:t>applicable</w:t>
            </w:r>
          </w:p>
          <w:p w:rsidR="00640ECC" w:rsidRPr="001D3A92" w:rsidRDefault="00640ECC" w:rsidP="0024509A">
            <w:pPr>
              <w:ind w:right="43"/>
              <w:rPr>
                <w:sz w:val="20"/>
                <w:szCs w:val="20"/>
              </w:rPr>
            </w:pPr>
          </w:p>
        </w:tc>
        <w:tc>
          <w:tcPr>
            <w:tcW w:w="2232" w:type="dxa"/>
            <w:vAlign w:val="center"/>
          </w:tcPr>
          <w:p w:rsidR="00640ECC" w:rsidRPr="00A840E1" w:rsidRDefault="00640ECC" w:rsidP="00640ECC">
            <w:pPr>
              <w:pStyle w:val="Heading7"/>
              <w:spacing w:after="120"/>
              <w:rPr>
                <w:bCs/>
                <w:sz w:val="20"/>
              </w:rPr>
            </w:pPr>
            <w:r>
              <w:rPr>
                <w:bCs/>
                <w:sz w:val="20"/>
              </w:rPr>
              <w:t xml:space="preserve">          Not  </w:t>
            </w:r>
            <w:r w:rsidRPr="00A840E1">
              <w:rPr>
                <w:bCs/>
                <w:sz w:val="20"/>
              </w:rPr>
              <w:t>applicable</w:t>
            </w:r>
          </w:p>
          <w:p w:rsidR="00640ECC" w:rsidRPr="001D3A92" w:rsidRDefault="00640ECC" w:rsidP="0024509A">
            <w:pPr>
              <w:ind w:right="43"/>
              <w:rPr>
                <w:sz w:val="20"/>
                <w:szCs w:val="20"/>
              </w:rPr>
            </w:pPr>
          </w:p>
        </w:tc>
        <w:tc>
          <w:tcPr>
            <w:tcW w:w="2034" w:type="dxa"/>
            <w:vAlign w:val="center"/>
          </w:tcPr>
          <w:p w:rsidR="00640ECC" w:rsidRPr="00A840E1" w:rsidRDefault="00640ECC" w:rsidP="00640ECC">
            <w:pPr>
              <w:pStyle w:val="Heading7"/>
              <w:spacing w:after="120"/>
              <w:rPr>
                <w:bCs/>
                <w:sz w:val="20"/>
              </w:rPr>
            </w:pPr>
            <w:r>
              <w:rPr>
                <w:bCs/>
                <w:sz w:val="20"/>
              </w:rPr>
              <w:t xml:space="preserve">          Not  </w:t>
            </w:r>
            <w:r w:rsidRPr="00A840E1">
              <w:rPr>
                <w:bCs/>
                <w:sz w:val="20"/>
              </w:rPr>
              <w:t>applicable</w:t>
            </w:r>
          </w:p>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5.2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1</w:t>
            </w:r>
          </w:p>
        </w:tc>
        <w:tc>
          <w:tcPr>
            <w:tcW w:w="5556" w:type="dxa"/>
          </w:tcPr>
          <w:p w:rsidR="00640ECC" w:rsidRDefault="00640ECC" w:rsidP="009D78AE">
            <w:pPr>
              <w:spacing w:line="216" w:lineRule="auto"/>
              <w:rPr>
                <w:sz w:val="20"/>
                <w:lang w:bidi="ar-EG"/>
              </w:rPr>
            </w:pPr>
            <w:r>
              <w:rPr>
                <w:sz w:val="20"/>
                <w:lang w:bidi="ar-EG"/>
              </w:rPr>
              <w:t>First midterm exam.</w:t>
            </w:r>
          </w:p>
        </w:tc>
        <w:tc>
          <w:tcPr>
            <w:tcW w:w="1350" w:type="dxa"/>
          </w:tcPr>
          <w:p w:rsidR="00640ECC" w:rsidRDefault="00640ECC" w:rsidP="009D78AE">
            <w:pPr>
              <w:spacing w:line="216" w:lineRule="auto"/>
              <w:rPr>
                <w:sz w:val="20"/>
                <w:lang w:bidi="ar-EG"/>
              </w:rPr>
            </w:pPr>
            <w:r>
              <w:rPr>
                <w:sz w:val="20"/>
                <w:lang w:bidi="ar-EG"/>
              </w:rPr>
              <w:t>Week 6</w:t>
            </w:r>
          </w:p>
        </w:tc>
        <w:tc>
          <w:tcPr>
            <w:tcW w:w="2250" w:type="dxa"/>
          </w:tcPr>
          <w:p w:rsidR="00640ECC" w:rsidRDefault="00640ECC" w:rsidP="009D78AE">
            <w:pPr>
              <w:spacing w:line="216" w:lineRule="auto"/>
              <w:rPr>
                <w:sz w:val="20"/>
                <w:lang w:bidi="ar-EG"/>
              </w:rPr>
            </w:pPr>
            <w:r>
              <w:rPr>
                <w:sz w:val="20"/>
                <w:lang w:bidi="ar-EG"/>
              </w:rPr>
              <w:t>20%</w:t>
            </w:r>
          </w:p>
          <w:p w:rsidR="00640ECC" w:rsidRDefault="00640ECC" w:rsidP="009D78AE">
            <w:pPr>
              <w:spacing w:line="216" w:lineRule="auto"/>
              <w:rPr>
                <w:sz w:val="20"/>
                <w:lang w:bidi="ar-EG"/>
              </w:rPr>
            </w:pPr>
          </w:p>
          <w:p w:rsidR="00640ECC" w:rsidRDefault="00640ECC" w:rsidP="009D78AE">
            <w:pPr>
              <w:spacing w:line="216" w:lineRule="auto"/>
              <w:rPr>
                <w:sz w:val="20"/>
                <w:lang w:bidi="ar-EG"/>
              </w:rPr>
            </w:pP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2</w:t>
            </w:r>
          </w:p>
        </w:tc>
        <w:tc>
          <w:tcPr>
            <w:tcW w:w="5556" w:type="dxa"/>
          </w:tcPr>
          <w:p w:rsidR="00640ECC" w:rsidRDefault="00640ECC" w:rsidP="009D78AE">
            <w:pPr>
              <w:spacing w:line="216" w:lineRule="auto"/>
              <w:rPr>
                <w:sz w:val="20"/>
                <w:lang w:bidi="ar-EG"/>
              </w:rPr>
            </w:pPr>
            <w:r>
              <w:rPr>
                <w:sz w:val="20"/>
                <w:lang w:bidi="ar-EG"/>
              </w:rPr>
              <w:t>Second mid term exam.</w:t>
            </w:r>
          </w:p>
        </w:tc>
        <w:tc>
          <w:tcPr>
            <w:tcW w:w="1350" w:type="dxa"/>
          </w:tcPr>
          <w:p w:rsidR="00640ECC" w:rsidRDefault="00640ECC" w:rsidP="009D78AE">
            <w:pPr>
              <w:spacing w:line="216" w:lineRule="auto"/>
              <w:rPr>
                <w:sz w:val="20"/>
                <w:lang w:bidi="ar-EG"/>
              </w:rPr>
            </w:pPr>
            <w:r>
              <w:rPr>
                <w:sz w:val="20"/>
                <w:lang w:bidi="ar-EG"/>
              </w:rPr>
              <w:t>Week 10</w:t>
            </w:r>
          </w:p>
        </w:tc>
        <w:tc>
          <w:tcPr>
            <w:tcW w:w="2250" w:type="dxa"/>
          </w:tcPr>
          <w:p w:rsidR="00640ECC" w:rsidRDefault="00640ECC" w:rsidP="009D78AE">
            <w:pPr>
              <w:spacing w:line="216" w:lineRule="auto"/>
              <w:rPr>
                <w:sz w:val="20"/>
                <w:lang w:bidi="ar-EG"/>
              </w:rPr>
            </w:pPr>
            <w:r>
              <w:rPr>
                <w:sz w:val="20"/>
                <w:lang w:bidi="ar-EG"/>
              </w:rPr>
              <w:t>20%</w:t>
            </w: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3</w:t>
            </w:r>
          </w:p>
        </w:tc>
        <w:tc>
          <w:tcPr>
            <w:tcW w:w="5556" w:type="dxa"/>
          </w:tcPr>
          <w:p w:rsidR="00640ECC" w:rsidRDefault="00640ECC" w:rsidP="009D78AE">
            <w:pPr>
              <w:spacing w:line="216" w:lineRule="auto"/>
              <w:rPr>
                <w:sz w:val="20"/>
                <w:lang w:bidi="ar-EG"/>
              </w:rPr>
            </w:pPr>
            <w:r>
              <w:rPr>
                <w:sz w:val="20"/>
                <w:lang w:bidi="ar-EG"/>
              </w:rPr>
              <w:t xml:space="preserve">Homework </w:t>
            </w:r>
          </w:p>
        </w:tc>
        <w:tc>
          <w:tcPr>
            <w:tcW w:w="1350" w:type="dxa"/>
          </w:tcPr>
          <w:p w:rsidR="00640ECC" w:rsidRDefault="00640ECC" w:rsidP="009D78AE">
            <w:pPr>
              <w:spacing w:line="216" w:lineRule="auto"/>
              <w:rPr>
                <w:sz w:val="20"/>
                <w:lang w:bidi="ar-EG"/>
              </w:rPr>
            </w:pPr>
            <w:r>
              <w:rPr>
                <w:sz w:val="20"/>
                <w:lang w:bidi="ar-EG"/>
              </w:rPr>
              <w:t>Over all weeks</w:t>
            </w:r>
          </w:p>
        </w:tc>
        <w:tc>
          <w:tcPr>
            <w:tcW w:w="2250" w:type="dxa"/>
          </w:tcPr>
          <w:p w:rsidR="00640ECC" w:rsidRDefault="00640ECC" w:rsidP="009D78AE">
            <w:pPr>
              <w:spacing w:line="216" w:lineRule="auto"/>
              <w:rPr>
                <w:sz w:val="20"/>
                <w:lang w:bidi="ar-EG"/>
              </w:rPr>
            </w:pPr>
            <w:r>
              <w:rPr>
                <w:sz w:val="20"/>
                <w:lang w:bidi="ar-EG"/>
              </w:rPr>
              <w:t>10%</w:t>
            </w: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4</w:t>
            </w:r>
          </w:p>
        </w:tc>
        <w:tc>
          <w:tcPr>
            <w:tcW w:w="5556" w:type="dxa"/>
          </w:tcPr>
          <w:p w:rsidR="00640ECC" w:rsidRDefault="00640ECC" w:rsidP="009D78AE">
            <w:pPr>
              <w:spacing w:line="216" w:lineRule="auto"/>
              <w:rPr>
                <w:sz w:val="20"/>
                <w:lang w:bidi="ar-EG"/>
              </w:rPr>
            </w:pPr>
            <w:r>
              <w:rPr>
                <w:sz w:val="20"/>
                <w:lang w:bidi="ar-EG"/>
              </w:rPr>
              <w:t>Final exam</w:t>
            </w:r>
          </w:p>
        </w:tc>
        <w:tc>
          <w:tcPr>
            <w:tcW w:w="1350" w:type="dxa"/>
          </w:tcPr>
          <w:p w:rsidR="00640ECC" w:rsidRDefault="00640ECC" w:rsidP="009D78AE">
            <w:pPr>
              <w:spacing w:line="216" w:lineRule="auto"/>
              <w:rPr>
                <w:sz w:val="20"/>
                <w:lang w:bidi="ar-EG"/>
              </w:rPr>
            </w:pPr>
            <w:r>
              <w:rPr>
                <w:sz w:val="20"/>
                <w:lang w:bidi="ar-EG"/>
              </w:rPr>
              <w:t>end</w:t>
            </w:r>
          </w:p>
        </w:tc>
        <w:tc>
          <w:tcPr>
            <w:tcW w:w="2250" w:type="dxa"/>
          </w:tcPr>
          <w:p w:rsidR="00640ECC" w:rsidRDefault="00640ECC" w:rsidP="009D78AE">
            <w:pPr>
              <w:spacing w:line="216" w:lineRule="auto"/>
              <w:rPr>
                <w:sz w:val="20"/>
                <w:lang w:bidi="ar-EG"/>
              </w:rPr>
            </w:pPr>
            <w:r>
              <w:rPr>
                <w:sz w:val="20"/>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151A9" w:rsidRDefault="005151A9" w:rsidP="005151A9">
            <w:pPr>
              <w:rPr>
                <w:rFonts w:ascii="Arial" w:hAnsi="Arial" w:cs="AL-Mohanad Bold"/>
              </w:rPr>
            </w:pPr>
            <w:r>
              <w:rPr>
                <w:rFonts w:ascii="Arial" w:hAnsi="Arial" w:cs="AL-Mohanad Bold"/>
              </w:rPr>
              <w:t>Differential Geometry and the Calculus of variations,  by R. Hermann.</w:t>
            </w:r>
          </w:p>
          <w:p w:rsidR="00B06431" w:rsidRDefault="00B06431" w:rsidP="00B06431">
            <w:pPr>
              <w:rPr>
                <w:rFonts w:ascii="Arial" w:hAnsi="Arial" w:cs="AL-Mohanad Bold"/>
              </w:rPr>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151A9" w:rsidP="00265A1C">
            <w:pPr>
              <w:ind w:right="43"/>
            </w:pPr>
            <w:r>
              <w:rPr>
                <w:sz w:val="20"/>
                <w:szCs w:val="20"/>
                <w:lang w:bidi="ar-EG"/>
              </w:rPr>
              <w:t>Foundations of Mechanics, R. Abraham</w:t>
            </w:r>
            <w:r w:rsidRPr="00470372">
              <w:t xml:space="preserve"> </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5151A9" w:rsidRDefault="005151A9" w:rsidP="005151A9">
            <w:pPr>
              <w:spacing w:before="240"/>
              <w:rPr>
                <w:sz w:val="20"/>
                <w:szCs w:val="20"/>
                <w:lang w:bidi="ar-EG"/>
              </w:rPr>
            </w:pPr>
            <w:r>
              <w:rPr>
                <w:sz w:val="20"/>
                <w:szCs w:val="20"/>
                <w:lang w:bidi="ar-EG"/>
              </w:rPr>
              <w:t>J. Simons, Minimal varieties in Riemannian manifolds,  Annals of Math. (2)88(1968), 62-106</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B06431" w:rsidP="00265A1C">
            <w:pPr>
              <w:ind w:right="43"/>
            </w:pPr>
            <w:r w:rsidRPr="00EF1524">
              <w:rPr>
                <w:sz w:val="20"/>
                <w:szCs w:val="20"/>
              </w:rPr>
              <w:t>Lecture Room</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B06431" w:rsidRDefault="00B06431" w:rsidP="00B06431">
            <w:pPr>
              <w:rPr>
                <w:sz w:val="20"/>
                <w:szCs w:val="20"/>
              </w:rPr>
            </w:pPr>
            <w:r>
              <w:rPr>
                <w:sz w:val="20"/>
                <w:szCs w:val="20"/>
              </w:rPr>
              <w:t>Not required</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5151A9" w:rsidRDefault="005151A9" w:rsidP="005151A9">
            <w:pPr>
              <w:rPr>
                <w:lang w:bidi="ar-EG"/>
              </w:rPr>
            </w:pPr>
            <w:r>
              <w:rPr>
                <w:lang w:bidi="ar-EG"/>
              </w:rPr>
              <w:t>The students are required to write a detailed report at the end of the course.</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lastRenderedPageBreak/>
        <w:t xml:space="preserve">Signature: _________________________            </w:t>
      </w:r>
      <w:r w:rsidRPr="00470372">
        <w:t>Date</w:t>
      </w:r>
      <w:r>
        <w:t xml:space="preserve"> Received</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56C" w:rsidRDefault="00A6756C">
      <w:r>
        <w:separator/>
      </w:r>
    </w:p>
  </w:endnote>
  <w:endnote w:type="continuationSeparator" w:id="0">
    <w:p w:rsidR="00A6756C" w:rsidRDefault="00A6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DejaVu Sans"/>
    <w:panose1 w:val="00000000000000000000"/>
    <w:charset w:val="B2"/>
    <w:family w:val="auto"/>
    <w:pitch w:val="variable"/>
    <w:sig w:usb0="0294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6855F4">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6855F4" w:rsidRPr="007E50EC">
            <w:rPr>
              <w:sz w:val="22"/>
              <w:szCs w:val="22"/>
            </w:rPr>
            <w:fldChar w:fldCharType="begin"/>
          </w:r>
          <w:r w:rsidRPr="007E50EC">
            <w:rPr>
              <w:sz w:val="22"/>
              <w:szCs w:val="22"/>
            </w:rPr>
            <w:instrText xml:space="preserve"> PAGE   \* MERGEFORMAT </w:instrText>
          </w:r>
          <w:r w:rsidR="006855F4" w:rsidRPr="007E50EC">
            <w:rPr>
              <w:sz w:val="22"/>
              <w:szCs w:val="22"/>
            </w:rPr>
            <w:fldChar w:fldCharType="separate"/>
          </w:r>
          <w:r w:rsidR="00950881" w:rsidRPr="00950881">
            <w:rPr>
              <w:rFonts w:ascii="Cambria" w:hAnsi="Cambria"/>
              <w:noProof/>
              <w:sz w:val="22"/>
              <w:szCs w:val="22"/>
            </w:rPr>
            <w:t>2</w:t>
          </w:r>
          <w:r w:rsidR="006855F4"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56C" w:rsidRDefault="00A6756C">
      <w:r>
        <w:separator/>
      </w:r>
    </w:p>
  </w:footnote>
  <w:footnote w:type="continuationSeparator" w:id="0">
    <w:p w:rsidR="00A6756C" w:rsidRDefault="00A675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4992"/>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51A9"/>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0EC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5F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088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0D8"/>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6756C"/>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A7748"/>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43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1DC"/>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A13D6-A8EB-4026-920D-F2AA9364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B4402-219F-4455-9A0D-9DBD3911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8702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Mohammed Guediri</cp:lastModifiedBy>
  <cp:revision>2</cp:revision>
  <cp:lastPrinted>2016-12-01T06:39:00Z</cp:lastPrinted>
  <dcterms:created xsi:type="dcterms:W3CDTF">2019-03-11T10:52:00Z</dcterms:created>
  <dcterms:modified xsi:type="dcterms:W3CDTF">2019-03-11T10:52:00Z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